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975"/>
        <w:gridCol w:w="7976"/>
      </w:tblGrid>
      <w:tr w:rsidR="005F5F19" w:rsidTr="007F69BE">
        <w:trPr>
          <w:trHeight w:val="250"/>
        </w:trPr>
        <w:tc>
          <w:tcPr>
            <w:tcW w:w="7975" w:type="dxa"/>
            <w:shd w:val="clear" w:color="auto" w:fill="A6A6A6" w:themeFill="background1" w:themeFillShade="A6"/>
          </w:tcPr>
          <w:p w:rsidR="005F5F19" w:rsidRPr="007C43F8" w:rsidRDefault="007F69BE" w:rsidP="007C43F8">
            <w:pPr>
              <w:pStyle w:val="a4"/>
              <w:jc w:val="center"/>
              <w:rPr>
                <w:b/>
                <w:bCs/>
                <w:sz w:val="24"/>
                <w:szCs w:val="24"/>
              </w:rPr>
            </w:pPr>
            <w:r w:rsidRPr="007C43F8">
              <w:rPr>
                <w:b/>
                <w:bCs/>
                <w:sz w:val="24"/>
                <w:szCs w:val="24"/>
              </w:rPr>
              <w:t>Исходник</w:t>
            </w:r>
          </w:p>
        </w:tc>
        <w:tc>
          <w:tcPr>
            <w:tcW w:w="7976" w:type="dxa"/>
            <w:shd w:val="clear" w:color="auto" w:fill="A6A6A6" w:themeFill="background1" w:themeFillShade="A6"/>
          </w:tcPr>
          <w:p w:rsidR="005F5F19" w:rsidRPr="007C43F8" w:rsidRDefault="007F69BE" w:rsidP="007C43F8">
            <w:pPr>
              <w:pStyle w:val="a4"/>
              <w:jc w:val="center"/>
              <w:rPr>
                <w:b/>
                <w:sz w:val="24"/>
                <w:szCs w:val="24"/>
              </w:rPr>
            </w:pPr>
            <w:r w:rsidRPr="007C43F8">
              <w:rPr>
                <w:b/>
                <w:sz w:val="24"/>
                <w:szCs w:val="24"/>
              </w:rPr>
              <w:t>Перевод</w:t>
            </w:r>
          </w:p>
        </w:tc>
      </w:tr>
      <w:tr w:rsidR="007C43F8" w:rsidRPr="001523B4" w:rsidTr="00B464A7">
        <w:trPr>
          <w:trHeight w:val="416"/>
        </w:trPr>
        <w:tc>
          <w:tcPr>
            <w:tcW w:w="7975" w:type="dxa"/>
          </w:tcPr>
          <w:p w:rsidR="00AD556D" w:rsidRDefault="00AD556D" w:rsidP="00AD556D">
            <w:pPr>
              <w:pStyle w:val="Style18"/>
              <w:widowControl/>
              <w:tabs>
                <w:tab w:val="left" w:pos="691"/>
              </w:tabs>
              <w:spacing w:before="230" w:line="250" w:lineRule="exact"/>
              <w:ind w:left="691"/>
              <w:rPr>
                <w:rStyle w:val="FontStyle25"/>
                <w:lang w:val="en-US" w:eastAsia="en-US"/>
              </w:rPr>
            </w:pPr>
            <w:r>
              <w:rPr>
                <w:rStyle w:val="FontStyle25"/>
                <w:lang w:val="en-US" w:eastAsia="en-US"/>
              </w:rPr>
              <w:t>(i)</w:t>
            </w:r>
            <w:r>
              <w:rPr>
                <w:rStyle w:val="FontStyle25"/>
                <w:lang w:val="en-US" w:eastAsia="en-US"/>
              </w:rPr>
              <w:tab/>
            </w:r>
            <w:r>
              <w:rPr>
                <w:rStyle w:val="FontStyle25"/>
                <w:b/>
                <w:bCs/>
                <w:lang w:val="en-US" w:eastAsia="en-US"/>
              </w:rPr>
              <w:t>Financial Statements.</w:t>
            </w:r>
            <w:r>
              <w:rPr>
                <w:rStyle w:val="FontStyle25"/>
                <w:lang w:val="en-US" w:eastAsia="en-US"/>
              </w:rPr>
              <w:t xml:space="preserve"> The consolidated Financial Statements of the Group as at the end of</w:t>
            </w:r>
            <w:r>
              <w:rPr>
                <w:rStyle w:val="FontStyle25"/>
                <w:lang w:val="en-US" w:eastAsia="en-US"/>
              </w:rPr>
              <w:br/>
              <w:t>each of the last three financial years and the notes thereon, certified by the Borrower's</w:t>
            </w:r>
            <w:r>
              <w:rPr>
                <w:rStyle w:val="FontStyle25"/>
                <w:lang w:val="en-US" w:eastAsia="en-US"/>
              </w:rPr>
              <w:br/>
              <w:t>Auditors, present a true and fair view of the financial condition of the Group as of the</w:t>
            </w:r>
            <w:r>
              <w:rPr>
                <w:rStyle w:val="FontStyle25"/>
                <w:lang w:val="en-US" w:eastAsia="en-US"/>
              </w:rPr>
              <w:br/>
              <w:t>relevant dates and for the relevant periods covered, and were prepared in accordance with</w:t>
            </w:r>
            <w:r>
              <w:rPr>
                <w:rStyle w:val="FontStyle25"/>
                <w:lang w:val="en-US" w:eastAsia="en-US"/>
              </w:rPr>
              <w:br/>
              <w:t>IFRS, consistently applied.</w:t>
            </w:r>
          </w:p>
          <w:p w:rsidR="00AD556D" w:rsidRDefault="00AD556D" w:rsidP="00AD556D">
            <w:pPr>
              <w:pStyle w:val="Style17"/>
              <w:widowControl/>
              <w:spacing w:before="230" w:line="250" w:lineRule="exact"/>
              <w:ind w:left="701" w:hanging="701"/>
              <w:rPr>
                <w:rStyle w:val="FontStyle25"/>
                <w:lang w:val="en-US" w:eastAsia="en-US"/>
              </w:rPr>
            </w:pPr>
            <w:r>
              <w:rPr>
                <w:rStyle w:val="FontStyle25"/>
                <w:lang w:val="en-US" w:eastAsia="en-US"/>
              </w:rPr>
              <w:t xml:space="preserve">(j) </w:t>
            </w:r>
            <w:r>
              <w:rPr>
                <w:rStyle w:val="FontStyle25"/>
                <w:lang w:val="en-US" w:eastAsia="en-US"/>
              </w:rPr>
              <w:tab/>
            </w:r>
            <w:r>
              <w:rPr>
                <w:rStyle w:val="FontStyle25"/>
                <w:b/>
                <w:bCs/>
                <w:lang w:val="en-US" w:eastAsia="en-US"/>
              </w:rPr>
              <w:t>No Default.</w:t>
            </w:r>
            <w:r>
              <w:rPr>
                <w:rStyle w:val="FontStyle25"/>
                <w:lang w:val="en-US" w:eastAsia="en-US"/>
              </w:rPr>
              <w:t xml:space="preserve"> No member of the Group is in default under any agreement, obligation or duty to which it is a party or by which it or any of its properties or assets is bound and there exists no Default.</w:t>
            </w:r>
          </w:p>
          <w:p w:rsidR="00AD556D" w:rsidRDefault="00AD556D" w:rsidP="00AD556D">
            <w:pPr>
              <w:pStyle w:val="Style17"/>
              <w:widowControl/>
              <w:spacing w:before="221" w:line="259" w:lineRule="exact"/>
              <w:ind w:left="701" w:hanging="701"/>
              <w:rPr>
                <w:rStyle w:val="FontStyle25"/>
                <w:lang w:val="en-US" w:eastAsia="en-US"/>
              </w:rPr>
            </w:pPr>
            <w:r>
              <w:rPr>
                <w:rStyle w:val="FontStyle25"/>
                <w:lang w:val="en-US" w:eastAsia="en-US"/>
              </w:rPr>
              <w:t xml:space="preserve">(k) </w:t>
            </w:r>
            <w:r>
              <w:rPr>
                <w:rStyle w:val="FontStyle25"/>
                <w:lang w:val="en-US" w:eastAsia="en-US"/>
              </w:rPr>
              <w:tab/>
            </w:r>
            <w:r>
              <w:rPr>
                <w:rStyle w:val="FontStyle25"/>
                <w:b/>
                <w:bCs/>
                <w:lang w:val="en-US" w:eastAsia="en-US"/>
              </w:rPr>
              <w:t>Litigation.</w:t>
            </w:r>
            <w:r>
              <w:rPr>
                <w:rStyle w:val="FontStyle25"/>
                <w:lang w:val="en-US" w:eastAsia="en-US"/>
              </w:rPr>
              <w:t xml:space="preserve"> No member of the Group is engaged in, or, to the best of the Borrower's knowledge, threatened by, any litigation, arbitration or administrative proceeding, the outcome of which might have a Material Adverse Effect.</w:t>
            </w:r>
          </w:p>
          <w:p w:rsidR="00AD556D" w:rsidRDefault="00AD556D" w:rsidP="00AD556D">
            <w:pPr>
              <w:pStyle w:val="Style17"/>
              <w:widowControl/>
              <w:spacing w:before="221" w:line="250" w:lineRule="exact"/>
              <w:ind w:left="701" w:hanging="701"/>
              <w:rPr>
                <w:rStyle w:val="FontStyle25"/>
                <w:lang w:val="en-US"/>
              </w:rPr>
            </w:pPr>
            <w:r>
              <w:rPr>
                <w:rStyle w:val="FontStyle25"/>
                <w:lang w:val="en-US"/>
              </w:rPr>
              <w:t xml:space="preserve">(l) </w:t>
            </w:r>
            <w:r>
              <w:rPr>
                <w:rStyle w:val="FontStyle25"/>
                <w:lang w:val="en-US"/>
              </w:rPr>
              <w:tab/>
            </w:r>
            <w:r>
              <w:rPr>
                <w:rStyle w:val="FontStyle25"/>
                <w:b/>
                <w:bCs/>
                <w:lang w:val="en-US"/>
              </w:rPr>
              <w:t>Corporate Power.</w:t>
            </w:r>
            <w:r>
              <w:rPr>
                <w:rStyle w:val="FontStyle25"/>
                <w:lang w:val="en-US"/>
              </w:rPr>
              <w:t xml:space="preserve"> The Borrower has the corporate power to enter into, and perform its obligations under, the Financing Documents.</w:t>
            </w:r>
          </w:p>
          <w:p w:rsidR="00E07F0A" w:rsidRDefault="00E07F0A" w:rsidP="00AD556D">
            <w:pPr>
              <w:pStyle w:val="Style17"/>
              <w:widowControl/>
              <w:spacing w:before="221" w:line="250" w:lineRule="exact"/>
              <w:ind w:left="701" w:hanging="701"/>
              <w:rPr>
                <w:rStyle w:val="FontStyle25"/>
                <w:lang w:val="en-US"/>
              </w:rPr>
            </w:pPr>
          </w:p>
          <w:p w:rsidR="00AD556D" w:rsidRDefault="00AD556D" w:rsidP="00AD556D">
            <w:pPr>
              <w:pStyle w:val="Style17"/>
              <w:widowControl/>
              <w:spacing w:before="221" w:line="250" w:lineRule="exact"/>
              <w:ind w:left="701" w:hanging="701"/>
              <w:rPr>
                <w:rStyle w:val="FontStyle25"/>
                <w:lang w:val="en-US" w:eastAsia="en-US"/>
              </w:rPr>
            </w:pPr>
            <w:r>
              <w:rPr>
                <w:rStyle w:val="FontStyle25"/>
                <w:lang w:val="en-US" w:eastAsia="en-US"/>
              </w:rPr>
              <w:t xml:space="preserve">(m) </w:t>
            </w:r>
            <w:r>
              <w:rPr>
                <w:rStyle w:val="FontStyle25"/>
                <w:lang w:val="en-US" w:eastAsia="en-US"/>
              </w:rPr>
              <w:tab/>
            </w:r>
            <w:r>
              <w:rPr>
                <w:rStyle w:val="FontStyle25"/>
                <w:b/>
                <w:bCs/>
                <w:lang w:val="en-US" w:eastAsia="en-US"/>
              </w:rPr>
              <w:t>Due Authorisation; Enforceability; No Conflict.</w:t>
            </w:r>
            <w:r>
              <w:rPr>
                <w:rStyle w:val="FontStyle25"/>
                <w:lang w:val="en-US" w:eastAsia="en-US"/>
              </w:rPr>
              <w:t xml:space="preserve"> The Financing Documents have been duly authorised by the Borrower. This Agreement has been duly executed by the Borrower and this Agreement constitutes, and the other Financing Documents to which the Borrower is a party, when executed and delivered, will constitute, valid and legally binding obligations of the Borrower, enforceable in accordance with their respective terms. The making of this Agreement and each other Financing Document to which the Borrower is a party and the compliance with the terms thereof:</w:t>
            </w:r>
          </w:p>
          <w:p w:rsidR="00E07F0A" w:rsidRDefault="00E07F0A" w:rsidP="00AD556D">
            <w:pPr>
              <w:pStyle w:val="Style17"/>
              <w:widowControl/>
              <w:spacing w:before="221" w:line="250" w:lineRule="exact"/>
              <w:ind w:left="701" w:hanging="701"/>
              <w:rPr>
                <w:rStyle w:val="FontStyle25"/>
                <w:lang w:val="en-US" w:eastAsia="en-US"/>
              </w:rPr>
            </w:pPr>
          </w:p>
          <w:p w:rsidR="00E07F0A" w:rsidRDefault="00E07F0A" w:rsidP="00E07F0A">
            <w:pPr>
              <w:pStyle w:val="Style17"/>
              <w:widowControl/>
              <w:spacing w:before="221" w:line="250" w:lineRule="exact"/>
              <w:ind w:firstLine="0"/>
              <w:rPr>
                <w:rStyle w:val="FontStyle25"/>
                <w:lang w:val="en-US" w:eastAsia="en-US"/>
              </w:rPr>
            </w:pPr>
          </w:p>
          <w:p w:rsidR="00AD556D" w:rsidRDefault="00AD556D" w:rsidP="00AD556D">
            <w:pPr>
              <w:pStyle w:val="Style17"/>
              <w:widowControl/>
              <w:spacing w:before="221" w:line="240" w:lineRule="exact"/>
              <w:ind w:left="701" w:firstLine="0"/>
              <w:jc w:val="left"/>
              <w:rPr>
                <w:rStyle w:val="FontStyle25"/>
                <w:lang w:val="en-US"/>
              </w:rPr>
            </w:pPr>
            <w:r>
              <w:rPr>
                <w:rStyle w:val="FontStyle25"/>
                <w:lang w:val="en-US"/>
              </w:rPr>
              <w:t>(1)</w:t>
            </w:r>
            <w:r w:rsidR="00BB1971" w:rsidRPr="0050176A">
              <w:rPr>
                <w:rStyle w:val="FontStyle25"/>
                <w:lang w:val="en-US"/>
              </w:rPr>
              <w:t xml:space="preserve"> </w:t>
            </w:r>
            <w:r>
              <w:rPr>
                <w:rStyle w:val="FontStyle25"/>
                <w:lang w:val="en-US"/>
              </w:rPr>
              <w:t>will not result in violation of the Borrower's Charter, any Aulhorisation(s) or any provision contained in any law applicable to the Borrower;</w:t>
            </w:r>
          </w:p>
          <w:p w:rsidR="00AD556D" w:rsidRDefault="00AD556D" w:rsidP="0050176A">
            <w:pPr>
              <w:pStyle w:val="Style18"/>
              <w:widowControl/>
              <w:numPr>
                <w:ilvl w:val="0"/>
                <w:numId w:val="4"/>
              </w:numPr>
              <w:tabs>
                <w:tab w:val="left" w:pos="2064"/>
              </w:tabs>
              <w:spacing w:line="250" w:lineRule="exact"/>
              <w:ind w:left="1418" w:hanging="710"/>
              <w:rPr>
                <w:rStyle w:val="FontStyle25"/>
                <w:lang w:val="en-US"/>
              </w:rPr>
            </w:pPr>
            <w:r>
              <w:rPr>
                <w:rStyle w:val="FontStyle25"/>
                <w:lang w:val="en-US"/>
              </w:rPr>
              <w:br w:type="page"/>
            </w:r>
            <w:r>
              <w:rPr>
                <w:rStyle w:val="FontStyle25"/>
                <w:lang w:val="en-US" w:eastAsia="en-US"/>
              </w:rPr>
              <w:t>will not conflict with or result in the breach of any provision of, or require any consent un</w:t>
            </w:r>
            <w:bookmarkStart w:id="0" w:name="_GoBack"/>
            <w:bookmarkEnd w:id="0"/>
            <w:r>
              <w:rPr>
                <w:rStyle w:val="FontStyle25"/>
                <w:lang w:val="en-US" w:eastAsia="en-US"/>
              </w:rPr>
              <w:t>der, or result in the imposition of any Lien under, any agreement or instrument to which the Borrower is a party or by which the Borrower</w:t>
            </w:r>
            <w:r w:rsidR="00B26CCD">
              <w:rPr>
                <w:rStyle w:val="FontStyle25"/>
                <w:lang w:val="en-US" w:eastAsia="en-US"/>
              </w:rPr>
              <w:t xml:space="preserve"> or any of its assets is bound;</w:t>
            </w:r>
          </w:p>
          <w:p w:rsidR="00372DFE" w:rsidRPr="00AD556D" w:rsidRDefault="00372DFE" w:rsidP="001523B4">
            <w:pPr>
              <w:spacing w:after="0" w:line="240" w:lineRule="auto"/>
              <w:ind w:firstLine="720"/>
              <w:jc w:val="both"/>
              <w:rPr>
                <w:spacing w:val="-10"/>
                <w:lang w:val="en-US"/>
              </w:rPr>
            </w:pPr>
          </w:p>
        </w:tc>
        <w:tc>
          <w:tcPr>
            <w:tcW w:w="7976" w:type="dxa"/>
          </w:tcPr>
          <w:p w:rsidR="007C43F8" w:rsidRPr="001523B4" w:rsidRDefault="007C43F8" w:rsidP="0096450E">
            <w:pPr>
              <w:pStyle w:val="Style18"/>
              <w:widowControl/>
              <w:tabs>
                <w:tab w:val="left" w:pos="691"/>
              </w:tabs>
              <w:spacing w:before="230" w:line="250" w:lineRule="exact"/>
              <w:ind w:left="691"/>
              <w:jc w:val="left"/>
              <w:rPr>
                <w:sz w:val="24"/>
              </w:rPr>
            </w:pPr>
          </w:p>
        </w:tc>
      </w:tr>
    </w:tbl>
    <w:p w:rsidR="005A38DC" w:rsidRPr="001523B4" w:rsidRDefault="005A38DC">
      <w:pPr>
        <w:rPr>
          <w:sz w:val="4"/>
          <w:szCs w:val="4"/>
        </w:rPr>
      </w:pPr>
    </w:p>
    <w:sectPr w:rsidR="005A38DC" w:rsidRPr="001523B4" w:rsidSect="002F0B10">
      <w:pgSz w:w="16838" w:h="11906" w:orient="landscape"/>
      <w:pgMar w:top="568" w:right="53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8EA594"/>
    <w:lvl w:ilvl="0">
      <w:numFmt w:val="bullet"/>
      <w:lvlText w:val="*"/>
      <w:lvlJc w:val="left"/>
    </w:lvl>
  </w:abstractNum>
  <w:abstractNum w:abstractNumId="1">
    <w:nsid w:val="143579EB"/>
    <w:multiLevelType w:val="multilevel"/>
    <w:tmpl w:val="BEC8AE64"/>
    <w:lvl w:ilvl="0">
      <w:start w:val="1"/>
      <w:numFmt w:val="bullet"/>
      <w:pStyle w:val="01squarebullet"/>
      <w:lvlText w:val="■"/>
      <w:lvlJc w:val="left"/>
      <w:pPr>
        <w:tabs>
          <w:tab w:val="num" w:pos="357"/>
        </w:tabs>
        <w:ind w:left="360" w:hanging="360"/>
      </w:pPr>
      <w:rPr>
        <w:rFonts w:ascii="Times New Roman" w:hAnsi="Times New Roman" w:hint="default"/>
        <w:color w:val="002960"/>
        <w:sz w:val="24"/>
      </w:rPr>
    </w:lvl>
    <w:lvl w:ilvl="1">
      <w:start w:val="1"/>
      <w:numFmt w:val="bullet"/>
      <w:pStyle w:val="02dash"/>
      <w:lvlText w:val="–"/>
      <w:lvlJc w:val="left"/>
      <w:pPr>
        <w:tabs>
          <w:tab w:val="num" w:pos="646"/>
        </w:tabs>
        <w:ind w:left="644" w:hanging="284"/>
      </w:pPr>
      <w:rPr>
        <w:rFonts w:ascii="Arial" w:hAnsi="Arial" w:hint="default"/>
        <w:color w:val="002960"/>
        <w:sz w:val="24"/>
      </w:rPr>
    </w:lvl>
    <w:lvl w:ilvl="2">
      <w:start w:val="1"/>
      <w:numFmt w:val="bullet"/>
      <w:pStyle w:val="03opensquarebullet"/>
      <w:lvlText w:val="□"/>
      <w:lvlJc w:val="left"/>
      <w:pPr>
        <w:tabs>
          <w:tab w:val="num" w:pos="924"/>
        </w:tabs>
        <w:ind w:left="927" w:hanging="283"/>
      </w:pPr>
      <w:rPr>
        <w:rFonts w:ascii="Times New Roman" w:hAnsi="Times New Roman" w:hint="default"/>
        <w:color w:val="002960"/>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2">
    <w:nsid w:val="2B7A1995"/>
    <w:multiLevelType w:val="hybridMultilevel"/>
    <w:tmpl w:val="773A55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153905"/>
    <w:multiLevelType w:val="singleLevel"/>
    <w:tmpl w:val="79066F60"/>
    <w:lvl w:ilvl="0">
      <w:start w:val="2"/>
      <w:numFmt w:val="decimal"/>
      <w:lvlText w:val="(%1)"/>
      <w:legacy w:legacy="1" w:legacySpace="0" w:legacyIndent="710"/>
      <w:lvlJc w:val="left"/>
      <w:pPr>
        <w:ind w:left="0" w:firstLine="0"/>
      </w:pPr>
      <w:rPr>
        <w:rFonts w:ascii="Times New Roman" w:hAnsi="Times New Roman" w:cs="Times New Roman" w:hint="default"/>
      </w:rPr>
    </w:lvl>
  </w:abstractNum>
  <w:abstractNum w:abstractNumId="4">
    <w:nsid w:val="781B648F"/>
    <w:multiLevelType w:val="hybridMultilevel"/>
    <w:tmpl w:val="A38848D8"/>
    <w:lvl w:ilvl="0" w:tplc="C158E646">
      <w:start w:val="1"/>
      <w:numFmt w:val="decimal"/>
      <w:lvlText w:val="(%1)"/>
      <w:lvlJc w:val="left"/>
      <w:pPr>
        <w:ind w:left="1286" w:hanging="585"/>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Arial" w:hAnsi="Arial" w:hint="default"/>
        </w:rPr>
      </w:lvl>
    </w:lvlOverride>
  </w:num>
  <w:num w:numId="4">
    <w:abstractNumId w:val="3"/>
    <w:lvlOverride w:ilvl="0">
      <w:startOverride w:val="2"/>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rsids>
    <w:rsidRoot w:val="005F5F19"/>
    <w:rsid w:val="000B4F2F"/>
    <w:rsid w:val="000D43B0"/>
    <w:rsid w:val="001523B4"/>
    <w:rsid w:val="001D389F"/>
    <w:rsid w:val="002D4BFE"/>
    <w:rsid w:val="002F0B10"/>
    <w:rsid w:val="00372DFE"/>
    <w:rsid w:val="003E7F8D"/>
    <w:rsid w:val="0050176A"/>
    <w:rsid w:val="005327CF"/>
    <w:rsid w:val="005A38DC"/>
    <w:rsid w:val="005F5F19"/>
    <w:rsid w:val="0061349C"/>
    <w:rsid w:val="00716CA2"/>
    <w:rsid w:val="00745A46"/>
    <w:rsid w:val="007C43F8"/>
    <w:rsid w:val="007F69BE"/>
    <w:rsid w:val="0090332C"/>
    <w:rsid w:val="00903363"/>
    <w:rsid w:val="009343E5"/>
    <w:rsid w:val="00936879"/>
    <w:rsid w:val="0096450E"/>
    <w:rsid w:val="009917B1"/>
    <w:rsid w:val="00A00E04"/>
    <w:rsid w:val="00AD410E"/>
    <w:rsid w:val="00AD556D"/>
    <w:rsid w:val="00B26CCD"/>
    <w:rsid w:val="00B464A7"/>
    <w:rsid w:val="00B61FE5"/>
    <w:rsid w:val="00BB1971"/>
    <w:rsid w:val="00BF271A"/>
    <w:rsid w:val="00C7559D"/>
    <w:rsid w:val="00C92C07"/>
    <w:rsid w:val="00CF5E4D"/>
    <w:rsid w:val="00D42CF4"/>
    <w:rsid w:val="00D6346E"/>
    <w:rsid w:val="00E0542C"/>
    <w:rsid w:val="00E07F0A"/>
    <w:rsid w:val="00E521A6"/>
    <w:rsid w:val="00E617A6"/>
    <w:rsid w:val="00F27514"/>
    <w:rsid w:val="00F42C2C"/>
    <w:rsid w:val="00FF2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19"/>
    <w:pPr>
      <w:spacing w:after="180" w:line="264" w:lineRule="auto"/>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squarebullet">
    <w:name w:val="01 square bullet"/>
    <w:basedOn w:val="a"/>
    <w:uiPriority w:val="99"/>
    <w:rsid w:val="005F5F19"/>
    <w:pPr>
      <w:numPr>
        <w:numId w:val="1"/>
      </w:numPr>
      <w:spacing w:after="120"/>
      <w:ind w:right="142"/>
    </w:pPr>
  </w:style>
  <w:style w:type="paragraph" w:customStyle="1" w:styleId="02dash">
    <w:name w:val="02 dash"/>
    <w:basedOn w:val="01squarebullet"/>
    <w:uiPriority w:val="99"/>
    <w:rsid w:val="005F5F19"/>
    <w:pPr>
      <w:numPr>
        <w:ilvl w:val="1"/>
      </w:numPr>
    </w:pPr>
  </w:style>
  <w:style w:type="paragraph" w:customStyle="1" w:styleId="03opensquarebullet">
    <w:name w:val="03 open square bullet"/>
    <w:basedOn w:val="02dash"/>
    <w:uiPriority w:val="99"/>
    <w:rsid w:val="005F5F19"/>
    <w:pPr>
      <w:numPr>
        <w:ilvl w:val="2"/>
      </w:numPr>
      <w:tabs>
        <w:tab w:val="clear" w:pos="924"/>
      </w:tabs>
    </w:pPr>
  </w:style>
  <w:style w:type="paragraph" w:customStyle="1" w:styleId="04shortdash">
    <w:name w:val="04 short dash"/>
    <w:basedOn w:val="03opensquarebullet"/>
    <w:uiPriority w:val="99"/>
    <w:rsid w:val="005F5F19"/>
    <w:pPr>
      <w:numPr>
        <w:ilvl w:val="3"/>
      </w:numPr>
      <w:tabs>
        <w:tab w:val="clear" w:pos="1213"/>
      </w:tabs>
      <w:ind w:left="1208"/>
    </w:pPr>
  </w:style>
  <w:style w:type="paragraph" w:styleId="a4">
    <w:name w:val="No Spacing"/>
    <w:uiPriority w:val="1"/>
    <w:qFormat/>
    <w:rsid w:val="005F5F19"/>
    <w:pPr>
      <w:spacing w:after="0" w:line="240" w:lineRule="auto"/>
    </w:pPr>
    <w:rPr>
      <w:rFonts w:ascii="Times New Roman" w:eastAsia="Times New Roman" w:hAnsi="Times New Roman" w:cs="Times New Roman"/>
      <w:sz w:val="26"/>
      <w:szCs w:val="20"/>
    </w:rPr>
  </w:style>
  <w:style w:type="paragraph" w:customStyle="1" w:styleId="Style17">
    <w:name w:val="Style17"/>
    <w:basedOn w:val="a"/>
    <w:rsid w:val="001523B4"/>
    <w:pPr>
      <w:widowControl w:val="0"/>
      <w:autoSpaceDE w:val="0"/>
      <w:autoSpaceDN w:val="0"/>
      <w:adjustRightInd w:val="0"/>
      <w:spacing w:after="0" w:line="245" w:lineRule="exact"/>
      <w:ind w:hanging="691"/>
      <w:jc w:val="both"/>
    </w:pPr>
    <w:rPr>
      <w:sz w:val="20"/>
      <w:szCs w:val="24"/>
      <w:lang w:eastAsia="ru-RU"/>
    </w:rPr>
  </w:style>
  <w:style w:type="paragraph" w:customStyle="1" w:styleId="Style18">
    <w:name w:val="Style18"/>
    <w:basedOn w:val="a"/>
    <w:rsid w:val="001523B4"/>
    <w:pPr>
      <w:widowControl w:val="0"/>
      <w:autoSpaceDE w:val="0"/>
      <w:autoSpaceDN w:val="0"/>
      <w:adjustRightInd w:val="0"/>
      <w:spacing w:after="0" w:line="259" w:lineRule="exact"/>
      <w:ind w:hanging="691"/>
      <w:jc w:val="both"/>
    </w:pPr>
    <w:rPr>
      <w:sz w:val="20"/>
      <w:szCs w:val="24"/>
      <w:lang w:eastAsia="ru-RU"/>
    </w:rPr>
  </w:style>
  <w:style w:type="character" w:customStyle="1" w:styleId="FontStyle25">
    <w:name w:val="Font Style25"/>
    <w:basedOn w:val="a0"/>
    <w:rsid w:val="001523B4"/>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19"/>
    <w:pPr>
      <w:spacing w:after="180" w:line="264" w:lineRule="auto"/>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squarebullet">
    <w:name w:val="01 square bullet"/>
    <w:basedOn w:val="a"/>
    <w:uiPriority w:val="99"/>
    <w:rsid w:val="005F5F19"/>
    <w:pPr>
      <w:numPr>
        <w:numId w:val="1"/>
      </w:numPr>
      <w:spacing w:after="120"/>
      <w:ind w:right="142"/>
    </w:pPr>
  </w:style>
  <w:style w:type="paragraph" w:customStyle="1" w:styleId="02dash">
    <w:name w:val="02 dash"/>
    <w:basedOn w:val="01squarebullet"/>
    <w:uiPriority w:val="99"/>
    <w:rsid w:val="005F5F19"/>
    <w:pPr>
      <w:numPr>
        <w:ilvl w:val="1"/>
      </w:numPr>
    </w:pPr>
  </w:style>
  <w:style w:type="paragraph" w:customStyle="1" w:styleId="03opensquarebullet">
    <w:name w:val="03 open square bullet"/>
    <w:basedOn w:val="02dash"/>
    <w:uiPriority w:val="99"/>
    <w:rsid w:val="005F5F19"/>
    <w:pPr>
      <w:numPr>
        <w:ilvl w:val="2"/>
      </w:numPr>
      <w:tabs>
        <w:tab w:val="clear" w:pos="924"/>
      </w:tabs>
    </w:pPr>
  </w:style>
  <w:style w:type="paragraph" w:customStyle="1" w:styleId="04shortdash">
    <w:name w:val="04 short dash"/>
    <w:basedOn w:val="03opensquarebullet"/>
    <w:uiPriority w:val="99"/>
    <w:rsid w:val="005F5F19"/>
    <w:pPr>
      <w:numPr>
        <w:ilvl w:val="3"/>
      </w:numPr>
      <w:tabs>
        <w:tab w:val="clear" w:pos="1213"/>
      </w:tabs>
      <w:ind w:left="1208"/>
    </w:pPr>
  </w:style>
  <w:style w:type="paragraph" w:styleId="a4">
    <w:name w:val="No Spacing"/>
    <w:uiPriority w:val="1"/>
    <w:qFormat/>
    <w:rsid w:val="005F5F19"/>
    <w:pPr>
      <w:spacing w:after="0" w:line="240" w:lineRule="auto"/>
    </w:pPr>
    <w:rPr>
      <w:rFonts w:ascii="Times New Roman" w:eastAsia="Times New Roman" w:hAnsi="Times New Roman" w:cs="Times New Roman"/>
      <w:sz w:val="26"/>
      <w:szCs w:val="20"/>
    </w:rPr>
  </w:style>
  <w:style w:type="paragraph" w:customStyle="1" w:styleId="Style17">
    <w:name w:val="Style17"/>
    <w:basedOn w:val="a"/>
    <w:rsid w:val="001523B4"/>
    <w:pPr>
      <w:widowControl w:val="0"/>
      <w:autoSpaceDE w:val="0"/>
      <w:autoSpaceDN w:val="0"/>
      <w:adjustRightInd w:val="0"/>
      <w:spacing w:after="0" w:line="245" w:lineRule="exact"/>
      <w:ind w:hanging="691"/>
      <w:jc w:val="both"/>
    </w:pPr>
    <w:rPr>
      <w:sz w:val="20"/>
      <w:szCs w:val="24"/>
      <w:lang w:eastAsia="ru-RU"/>
    </w:rPr>
  </w:style>
  <w:style w:type="paragraph" w:customStyle="1" w:styleId="Style18">
    <w:name w:val="Style18"/>
    <w:basedOn w:val="a"/>
    <w:rsid w:val="001523B4"/>
    <w:pPr>
      <w:widowControl w:val="0"/>
      <w:autoSpaceDE w:val="0"/>
      <w:autoSpaceDN w:val="0"/>
      <w:adjustRightInd w:val="0"/>
      <w:spacing w:after="0" w:line="259" w:lineRule="exact"/>
      <w:ind w:hanging="691"/>
      <w:jc w:val="both"/>
    </w:pPr>
    <w:rPr>
      <w:sz w:val="20"/>
      <w:szCs w:val="24"/>
      <w:lang w:eastAsia="ru-RU"/>
    </w:rPr>
  </w:style>
  <w:style w:type="character" w:customStyle="1" w:styleId="FontStyle25">
    <w:name w:val="Font Style25"/>
    <w:basedOn w:val="a0"/>
    <w:rsid w:val="001523B4"/>
    <w:rPr>
      <w:rFonts w:ascii="Times New Roman" w:hAnsi="Times New Roman" w:cs="Times New Roman"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33776674">
      <w:bodyDiv w:val="1"/>
      <w:marLeft w:val="0"/>
      <w:marRight w:val="0"/>
      <w:marTop w:val="0"/>
      <w:marBottom w:val="0"/>
      <w:divBdr>
        <w:top w:val="none" w:sz="0" w:space="0" w:color="auto"/>
        <w:left w:val="none" w:sz="0" w:space="0" w:color="auto"/>
        <w:bottom w:val="none" w:sz="0" w:space="0" w:color="auto"/>
        <w:right w:val="none" w:sz="0" w:space="0" w:color="auto"/>
      </w:divBdr>
    </w:div>
    <w:div w:id="1521041486">
      <w:bodyDiv w:val="1"/>
      <w:marLeft w:val="0"/>
      <w:marRight w:val="0"/>
      <w:marTop w:val="0"/>
      <w:marBottom w:val="0"/>
      <w:divBdr>
        <w:top w:val="none" w:sz="0" w:space="0" w:color="auto"/>
        <w:left w:val="none" w:sz="0" w:space="0" w:color="auto"/>
        <w:bottom w:val="none" w:sz="0" w:space="0" w:color="auto"/>
        <w:right w:val="none" w:sz="0" w:space="0" w:color="auto"/>
      </w:divBdr>
    </w:div>
    <w:div w:id="16236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1714</Characters>
  <Application>Microsoft Office Word</Application>
  <DocSecurity>0</DocSecurity>
  <Lines>55</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TransLink</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vikhrevav</dc:creator>
  <cp:lastModifiedBy>Казарцева Ольга Михайловна</cp:lastModifiedBy>
  <cp:revision>15</cp:revision>
  <dcterms:created xsi:type="dcterms:W3CDTF">2013-02-07T09:45:00Z</dcterms:created>
  <dcterms:modified xsi:type="dcterms:W3CDTF">2013-10-04T11:58:00Z</dcterms:modified>
</cp:coreProperties>
</file>