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90F" w:rsidRDefault="007B79FE" w:rsidP="00F5190F">
      <w:pPr>
        <w:pStyle w:val="a4"/>
        <w:ind w:left="-709"/>
        <w:jc w:val="center"/>
        <w:rPr>
          <w:rFonts w:ascii="Times New Roman" w:hAnsi="Times New Roman" w:cs="Times New Roman"/>
          <w:sz w:val="24"/>
          <w:szCs w:val="24"/>
        </w:rPr>
      </w:pPr>
      <w:r w:rsidRPr="00F5190F">
        <w:rPr>
          <w:rFonts w:ascii="Times New Roman" w:hAnsi="Times New Roman" w:cs="Times New Roman"/>
          <w:sz w:val="24"/>
          <w:szCs w:val="24"/>
        </w:rPr>
        <w:t>Тестовый перевод</w:t>
      </w:r>
    </w:p>
    <w:p w:rsidR="00F5190F" w:rsidRDefault="00B62CBC" w:rsidP="00F5190F">
      <w:pPr>
        <w:pStyle w:val="a4"/>
        <w:ind w:left="-709"/>
        <w:rPr>
          <w:rFonts w:ascii="Times New Roman" w:hAnsi="Times New Roman" w:cs="Times New Roman"/>
          <w:sz w:val="24"/>
          <w:szCs w:val="24"/>
        </w:rPr>
      </w:pPr>
      <w:r w:rsidRPr="00F5190F">
        <w:rPr>
          <w:rFonts w:ascii="Times New Roman" w:hAnsi="Times New Roman" w:cs="Times New Roman"/>
          <w:sz w:val="24"/>
          <w:szCs w:val="24"/>
        </w:rPr>
        <w:t xml:space="preserve">Тематика: </w:t>
      </w:r>
      <w:r w:rsidR="00BC539D">
        <w:rPr>
          <w:rFonts w:ascii="Times New Roman" w:hAnsi="Times New Roman" w:cs="Times New Roman"/>
          <w:sz w:val="24"/>
          <w:szCs w:val="24"/>
        </w:rPr>
        <w:t>Строительство</w:t>
      </w:r>
    </w:p>
    <w:p w:rsidR="00742245" w:rsidRDefault="007B79FE" w:rsidP="00F5190F">
      <w:pPr>
        <w:pStyle w:val="a4"/>
        <w:ind w:left="-709"/>
        <w:rPr>
          <w:rFonts w:ascii="Times New Roman" w:hAnsi="Times New Roman" w:cs="Times New Roman"/>
          <w:sz w:val="24"/>
          <w:szCs w:val="24"/>
        </w:rPr>
      </w:pPr>
      <w:r w:rsidRPr="00F5190F">
        <w:rPr>
          <w:rFonts w:ascii="Times New Roman" w:hAnsi="Times New Roman" w:cs="Times New Roman"/>
          <w:sz w:val="24"/>
          <w:szCs w:val="24"/>
        </w:rPr>
        <w:t>Языковые пары</w:t>
      </w:r>
      <w:r w:rsidR="00CB00CC">
        <w:rPr>
          <w:rFonts w:ascii="Times New Roman" w:hAnsi="Times New Roman" w:cs="Times New Roman"/>
          <w:sz w:val="24"/>
          <w:szCs w:val="24"/>
        </w:rPr>
        <w:t xml:space="preserve">: </w:t>
      </w:r>
      <w:r w:rsidRPr="00F5190F">
        <w:rPr>
          <w:rFonts w:ascii="Times New Roman" w:hAnsi="Times New Roman" w:cs="Times New Roman"/>
          <w:sz w:val="24"/>
          <w:szCs w:val="24"/>
        </w:rPr>
        <w:t>русский</w:t>
      </w:r>
      <w:r w:rsidR="00CF66EA">
        <w:rPr>
          <w:rFonts w:ascii="Times New Roman" w:hAnsi="Times New Roman" w:cs="Times New Roman"/>
          <w:sz w:val="24"/>
          <w:szCs w:val="24"/>
        </w:rPr>
        <w:t>-испанский-русский</w:t>
      </w:r>
    </w:p>
    <w:tbl>
      <w:tblPr>
        <w:tblStyle w:val="a3"/>
        <w:tblW w:w="0" w:type="auto"/>
        <w:tblInd w:w="-601" w:type="dxa"/>
        <w:tblLook w:val="04A0" w:firstRow="1" w:lastRow="0" w:firstColumn="1" w:lastColumn="0" w:noHBand="0" w:noVBand="1"/>
      </w:tblPr>
      <w:tblGrid>
        <w:gridCol w:w="5386"/>
        <w:gridCol w:w="4786"/>
      </w:tblGrid>
      <w:tr w:rsidR="007B79FE" w:rsidRPr="00F5190F" w:rsidTr="007B79FE">
        <w:tc>
          <w:tcPr>
            <w:tcW w:w="5386" w:type="dxa"/>
          </w:tcPr>
          <w:p w:rsidR="007B79FE" w:rsidRPr="00742245" w:rsidRDefault="00BC539D" w:rsidP="00742245">
            <w:pPr>
              <w:pStyle w:val="a4"/>
              <w:jc w:val="center"/>
              <w:rPr>
                <w:rFonts w:ascii="Times New Roman" w:hAnsi="Times New Roman" w:cs="Times New Roman"/>
                <w:b/>
                <w:sz w:val="24"/>
                <w:szCs w:val="24"/>
              </w:rPr>
            </w:pPr>
            <w:r>
              <w:rPr>
                <w:rFonts w:ascii="Times New Roman" w:hAnsi="Times New Roman" w:cs="Times New Roman"/>
                <w:b/>
                <w:sz w:val="24"/>
                <w:szCs w:val="24"/>
              </w:rPr>
              <w:t>Исходник</w:t>
            </w:r>
          </w:p>
        </w:tc>
        <w:tc>
          <w:tcPr>
            <w:tcW w:w="4786" w:type="dxa"/>
          </w:tcPr>
          <w:p w:rsidR="007B79FE" w:rsidRPr="00742245" w:rsidRDefault="00BC539D" w:rsidP="00CB00CC">
            <w:pPr>
              <w:pStyle w:val="a4"/>
              <w:jc w:val="center"/>
              <w:rPr>
                <w:rFonts w:ascii="Times New Roman" w:hAnsi="Times New Roman" w:cs="Times New Roman"/>
                <w:b/>
                <w:sz w:val="24"/>
                <w:szCs w:val="24"/>
              </w:rPr>
            </w:pPr>
            <w:r>
              <w:rPr>
                <w:rFonts w:ascii="Times New Roman" w:hAnsi="Times New Roman" w:cs="Times New Roman"/>
                <w:b/>
                <w:sz w:val="24"/>
                <w:szCs w:val="24"/>
              </w:rPr>
              <w:t>Перевод</w:t>
            </w:r>
          </w:p>
        </w:tc>
      </w:tr>
      <w:tr w:rsidR="00742245" w:rsidRPr="00D54A9A" w:rsidTr="00742245">
        <w:trPr>
          <w:trHeight w:val="6080"/>
        </w:trPr>
        <w:tc>
          <w:tcPr>
            <w:tcW w:w="5386" w:type="dxa"/>
          </w:tcPr>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Соглашение включает следующие услуги, которые будет предоставлять </w:t>
            </w:r>
            <w:proofErr w:type="spellStart"/>
            <w:r w:rsidRPr="00D54A9A">
              <w:rPr>
                <w:rFonts w:ascii="Times New Roman" w:hAnsi="Times New Roman" w:cs="Times New Roman"/>
                <w:sz w:val="20"/>
              </w:rPr>
              <w:t>Ramboll</w:t>
            </w:r>
            <w:proofErr w:type="spellEnd"/>
            <w:r w:rsidRPr="00D54A9A">
              <w:rPr>
                <w:rFonts w:ascii="Times New Roman" w:hAnsi="Times New Roman" w:cs="Times New Roman"/>
                <w:sz w:val="20"/>
              </w:rPr>
              <w:t xml:space="preserve">: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Архитектурное проектирование, включая оснащение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Ландшафтное проектирование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Инжиниринговые услуги, несущие конструкции, включая подземную часть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Инжиниринговые услуги, механика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Инжиниринговые услуги, электрика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Проектирование фасада с точки зрения конструкции и теплообмена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Услуги, связанные с энергосберегающими системами, включая расчеты энергопотребления и услуги LEED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Проверка, предварительный отбор и подписание контракта с одним главным подрядчиком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Управление проектом и строительством, включая надзор</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Следующие услуги не включены в объем и будут предоставлены в качестве </w:t>
            </w:r>
            <w:proofErr w:type="gramStart"/>
            <w:r w:rsidRPr="00D54A9A">
              <w:rPr>
                <w:rFonts w:ascii="Times New Roman" w:hAnsi="Times New Roman" w:cs="Times New Roman"/>
                <w:sz w:val="20"/>
              </w:rPr>
              <w:t>дополнительных</w:t>
            </w:r>
            <w:proofErr w:type="gramEnd"/>
            <w:r w:rsidRPr="00D54A9A">
              <w:rPr>
                <w:rFonts w:ascii="Times New Roman" w:hAnsi="Times New Roman" w:cs="Times New Roman"/>
                <w:sz w:val="20"/>
              </w:rPr>
              <w:t xml:space="preserve"> при необходимости: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Логистика (перемещение людей в здании)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Исследования и испытания на месте в существующем здании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Геотехнические исследования, не включая бурение и лабораторный анализ.</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Ведомости объемов работ и расходов на материалы для металлоконструкций и инженерных сетей</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Подготовка документов к работе и обслуживанию (выдаются руководства, сами работы выполняются подрядчиком)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Надзор раз в год и раз в пять лет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Лабораторные испытания и испытания методом моделирования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Дополнительные/альтернативные имитации, проекты и изменения проекта, причиной которых стали стороны, отличные от </w:t>
            </w:r>
            <w:proofErr w:type="spellStart"/>
            <w:r w:rsidRPr="00D54A9A">
              <w:rPr>
                <w:rFonts w:ascii="Times New Roman" w:hAnsi="Times New Roman" w:cs="Times New Roman"/>
                <w:sz w:val="20"/>
              </w:rPr>
              <w:t>Ramboll</w:t>
            </w:r>
            <w:proofErr w:type="spellEnd"/>
            <w:r w:rsidRPr="00D54A9A">
              <w:rPr>
                <w:rFonts w:ascii="Times New Roman" w:hAnsi="Times New Roman" w:cs="Times New Roman"/>
                <w:sz w:val="20"/>
              </w:rPr>
              <w:t xml:space="preserve">.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Помощь в юридических спорах между клиентом и другими сторонами.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Имитация и испытание ветровой нагрузки на здание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Оценка рисков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Официальные обязанности </w:t>
            </w:r>
          </w:p>
          <w:p w:rsidR="00BC539D" w:rsidRPr="00D54A9A" w:rsidRDefault="00BC539D" w:rsidP="00BC539D">
            <w:pPr>
              <w:pStyle w:val="Default"/>
              <w:jc w:val="both"/>
              <w:rPr>
                <w:rFonts w:ascii="Times New Roman" w:hAnsi="Times New Roman" w:cs="Times New Roman"/>
                <w:sz w:val="20"/>
              </w:rPr>
            </w:pPr>
            <w:r w:rsidRPr="00D54A9A">
              <w:rPr>
                <w:rFonts w:ascii="Times New Roman" w:hAnsi="Times New Roman" w:cs="Times New Roman"/>
                <w:sz w:val="20"/>
              </w:rPr>
              <w:t xml:space="preserve">• Дополнительные услуги для консультанта по причине отсутствия информации по проекту или изменения графика проекта, вызванного условиями, за которые не может отвечать консультант. </w:t>
            </w:r>
          </w:p>
          <w:p w:rsidR="00742245" w:rsidRPr="00D54A9A" w:rsidRDefault="00BC539D" w:rsidP="00BC539D">
            <w:pPr>
              <w:pStyle w:val="a4"/>
              <w:jc w:val="both"/>
              <w:rPr>
                <w:rFonts w:ascii="Times New Roman" w:hAnsi="Times New Roman" w:cs="Times New Roman"/>
                <w:sz w:val="18"/>
              </w:rPr>
            </w:pPr>
            <w:r w:rsidRPr="00D54A9A">
              <w:rPr>
                <w:rFonts w:ascii="Times New Roman" w:hAnsi="Times New Roman" w:cs="Times New Roman"/>
                <w:sz w:val="18"/>
              </w:rPr>
              <w:t>• Экологическая оценка территории (ESA) в отношении возможного загрязнения площадки строительства.</w:t>
            </w:r>
          </w:p>
          <w:p w:rsidR="00CF66EA" w:rsidRPr="00D54A9A" w:rsidRDefault="00CF66EA" w:rsidP="00BC539D">
            <w:pPr>
              <w:pStyle w:val="a4"/>
              <w:jc w:val="both"/>
              <w:rPr>
                <w:rFonts w:ascii="Times New Roman" w:hAnsi="Times New Roman" w:cs="Times New Roman"/>
                <w:sz w:val="18"/>
              </w:rPr>
            </w:pPr>
          </w:p>
          <w:p w:rsidR="00CF66EA" w:rsidRPr="00D54A9A" w:rsidRDefault="00CF66EA" w:rsidP="00BC539D">
            <w:pPr>
              <w:pStyle w:val="a4"/>
              <w:jc w:val="both"/>
              <w:rPr>
                <w:rFonts w:ascii="Times New Roman" w:hAnsi="Times New Roman" w:cs="Times New Roman"/>
                <w:sz w:val="18"/>
              </w:rPr>
            </w:pPr>
          </w:p>
          <w:p w:rsidR="00CF66EA" w:rsidRPr="00D54A9A" w:rsidRDefault="00CF66EA" w:rsidP="00BC539D">
            <w:pPr>
              <w:pStyle w:val="a4"/>
              <w:jc w:val="both"/>
              <w:rPr>
                <w:rFonts w:ascii="Times New Roman" w:hAnsi="Times New Roman" w:cs="Times New Roman"/>
                <w:sz w:val="18"/>
              </w:rPr>
            </w:pPr>
          </w:p>
          <w:p w:rsidR="00CF66EA" w:rsidRPr="00D54A9A" w:rsidRDefault="00CF66EA" w:rsidP="00CF66EA">
            <w:pPr>
              <w:pStyle w:val="a4"/>
              <w:jc w:val="both"/>
              <w:rPr>
                <w:rFonts w:ascii="Times New Roman" w:hAnsi="Times New Roman" w:cs="Times New Roman"/>
                <w:sz w:val="20"/>
                <w:szCs w:val="24"/>
                <w:lang w:val="es-ES"/>
              </w:rPr>
            </w:pPr>
            <w:r w:rsidRPr="00D54A9A">
              <w:rPr>
                <w:rFonts w:ascii="Times New Roman" w:hAnsi="Times New Roman" w:cs="Times New Roman"/>
                <w:sz w:val="20"/>
                <w:szCs w:val="24"/>
                <w:lang w:val="es-ES"/>
              </w:rPr>
              <w:t>GENERACIÓN DE EXCEDENTES – EXPORTACIÓN DE ENERGÍA ELÉCTRICA</w:t>
            </w:r>
          </w:p>
          <w:p w:rsidR="00CF66EA" w:rsidRPr="00D54A9A" w:rsidRDefault="00CF66EA" w:rsidP="00CF66EA">
            <w:pPr>
              <w:pStyle w:val="a4"/>
              <w:jc w:val="both"/>
              <w:rPr>
                <w:rFonts w:ascii="Times New Roman" w:hAnsi="Times New Roman" w:cs="Times New Roman"/>
                <w:sz w:val="20"/>
                <w:szCs w:val="24"/>
                <w:lang w:val="es-ES"/>
              </w:rPr>
            </w:pPr>
            <w:r w:rsidRPr="00D54A9A">
              <w:rPr>
                <w:rFonts w:ascii="Times New Roman" w:hAnsi="Times New Roman" w:cs="Times New Roman"/>
                <w:sz w:val="20"/>
                <w:szCs w:val="24"/>
                <w:lang w:val="es-ES"/>
              </w:rPr>
              <w:t>Latinoamérica dispone de abundante variedad de recursos energéticos con bajos costos de oportunidad, que pueden abastecer a los mercados potenciales tanto dentro como fuera de la región, en este contexto la integración energética latinoamericana contribuirá a la optimización de la matriz energética, la utilización efciente de los recursos energéticos y la complementariedad entre los países, permitiendo una mejor inserción regional en el contexto internacional.</w:t>
            </w:r>
          </w:p>
          <w:p w:rsidR="00CF66EA" w:rsidRPr="00D54A9A" w:rsidRDefault="00CF66EA" w:rsidP="00CF66EA">
            <w:pPr>
              <w:pStyle w:val="a4"/>
              <w:jc w:val="both"/>
              <w:rPr>
                <w:rFonts w:ascii="Times New Roman" w:hAnsi="Times New Roman" w:cs="Times New Roman"/>
                <w:sz w:val="20"/>
                <w:szCs w:val="24"/>
                <w:lang w:val="es-ES"/>
              </w:rPr>
            </w:pPr>
            <w:r w:rsidRPr="00D54A9A">
              <w:rPr>
                <w:rFonts w:ascii="Times New Roman" w:hAnsi="Times New Roman" w:cs="Times New Roman"/>
                <w:sz w:val="20"/>
                <w:szCs w:val="24"/>
                <w:lang w:val="es-ES"/>
              </w:rPr>
              <w:t>Sin embargo, existen grandes obstáculos que vencer, como la falta de infraestructura, la diferencia entre los modelos de los mercados energéticos y los escasos recursos fnancieros disponibles y otros.</w:t>
            </w:r>
          </w:p>
          <w:p w:rsidR="00CF66EA" w:rsidRPr="00D54A9A" w:rsidRDefault="00CF66EA" w:rsidP="00CF66EA">
            <w:pPr>
              <w:pStyle w:val="a4"/>
              <w:jc w:val="both"/>
              <w:rPr>
                <w:rFonts w:ascii="Times New Roman" w:hAnsi="Times New Roman" w:cs="Times New Roman"/>
                <w:sz w:val="20"/>
                <w:szCs w:val="24"/>
                <w:lang w:val="es-ES"/>
              </w:rPr>
            </w:pPr>
            <w:r w:rsidRPr="00D54A9A">
              <w:rPr>
                <w:rFonts w:ascii="Times New Roman" w:hAnsi="Times New Roman" w:cs="Times New Roman"/>
                <w:sz w:val="20"/>
                <w:szCs w:val="24"/>
                <w:lang w:val="es-ES"/>
              </w:rPr>
              <w:t xml:space="preserve">A pesar de estos obstáculos, en los últimos años se lograron concretar varias incitativas de integración, que fueron impulsadas principalmente por un entorno político y económico regional favorable y los benefcios de la ejecución de cada </w:t>
            </w:r>
            <w:r w:rsidRPr="00D54A9A">
              <w:rPr>
                <w:rFonts w:ascii="Times New Roman" w:hAnsi="Times New Roman" w:cs="Times New Roman"/>
                <w:sz w:val="20"/>
                <w:szCs w:val="24"/>
                <w:lang w:val="es-ES"/>
              </w:rPr>
              <w:lastRenderedPageBreak/>
              <w:t>proyecto.</w:t>
            </w:r>
          </w:p>
          <w:p w:rsidR="00CF66EA" w:rsidRPr="00D54A9A" w:rsidRDefault="00CF66EA" w:rsidP="00CF66EA">
            <w:pPr>
              <w:pStyle w:val="a4"/>
              <w:jc w:val="both"/>
              <w:rPr>
                <w:rFonts w:ascii="Times New Roman" w:hAnsi="Times New Roman" w:cs="Times New Roman"/>
                <w:sz w:val="20"/>
                <w:szCs w:val="24"/>
                <w:lang w:val="en-US"/>
              </w:rPr>
            </w:pPr>
            <w:r w:rsidRPr="00D54A9A">
              <w:rPr>
                <w:rFonts w:ascii="Times New Roman" w:hAnsi="Times New Roman" w:cs="Times New Roman"/>
                <w:sz w:val="20"/>
                <w:szCs w:val="24"/>
                <w:lang w:val="es-ES"/>
              </w:rPr>
              <w:t>De igual manera se lograron grandes avances en los aspectos regulatorios y de operación de los mercados, donde los Estados tuvieron un rol protagónico.</w:t>
            </w:r>
          </w:p>
          <w:p w:rsidR="00CF66EA" w:rsidRPr="00D54A9A" w:rsidRDefault="00CF66EA" w:rsidP="00CF66EA">
            <w:pPr>
              <w:pStyle w:val="a4"/>
              <w:jc w:val="both"/>
              <w:rPr>
                <w:rFonts w:ascii="Times New Roman" w:hAnsi="Times New Roman" w:cs="Times New Roman"/>
                <w:sz w:val="20"/>
                <w:szCs w:val="24"/>
                <w:lang w:val="es-ES"/>
              </w:rPr>
            </w:pPr>
            <w:r w:rsidRPr="00D54A9A">
              <w:rPr>
                <w:rFonts w:ascii="Times New Roman" w:hAnsi="Times New Roman" w:cs="Times New Roman"/>
                <w:sz w:val="20"/>
                <w:szCs w:val="24"/>
                <w:lang w:val="es-ES"/>
              </w:rPr>
              <w:t>Panorama regional sobre intercambios de energía eléctrica</w:t>
            </w:r>
          </w:p>
          <w:p w:rsidR="00CF66EA" w:rsidRPr="00D54A9A" w:rsidRDefault="00CF66EA" w:rsidP="00CF66EA">
            <w:pPr>
              <w:pStyle w:val="a4"/>
              <w:jc w:val="both"/>
              <w:rPr>
                <w:rFonts w:ascii="Times New Roman" w:hAnsi="Times New Roman" w:cs="Times New Roman"/>
                <w:sz w:val="20"/>
                <w:szCs w:val="24"/>
                <w:lang w:val="es-ES"/>
              </w:rPr>
            </w:pPr>
            <w:r w:rsidRPr="00D54A9A">
              <w:rPr>
                <w:rFonts w:ascii="Times New Roman" w:hAnsi="Times New Roman" w:cs="Times New Roman"/>
                <w:sz w:val="20"/>
                <w:szCs w:val="24"/>
                <w:lang w:val="es-ES"/>
              </w:rPr>
              <w:t>Sudamérica es una región autosufciente en insumos energéticos, con importantes reservas de petróleo, gas natural y recursos hídricos; asimismo, el potencial de generación de biomasa como fuente energética se muestra promisorio.</w:t>
            </w:r>
          </w:p>
          <w:p w:rsidR="00CF66EA" w:rsidRPr="00D54A9A" w:rsidRDefault="00CF66EA" w:rsidP="00CF66EA">
            <w:pPr>
              <w:pStyle w:val="a4"/>
              <w:jc w:val="both"/>
              <w:rPr>
                <w:rFonts w:ascii="Times New Roman" w:hAnsi="Times New Roman" w:cs="Times New Roman"/>
                <w:sz w:val="20"/>
                <w:szCs w:val="24"/>
                <w:lang w:val="es-ES"/>
              </w:rPr>
            </w:pPr>
            <w:r w:rsidRPr="00D54A9A">
              <w:rPr>
                <w:rFonts w:ascii="Times New Roman" w:hAnsi="Times New Roman" w:cs="Times New Roman"/>
                <w:sz w:val="20"/>
                <w:szCs w:val="24"/>
                <w:lang w:val="es-ES"/>
              </w:rPr>
              <w:t>En este sentido, existe complementariedad de insumos energéticos entre los países de la región para la integración energética, lo cual posibilita la construcción de líneas de transmisión, centrales hidroeléctricas y gasoductos.</w:t>
            </w:r>
          </w:p>
          <w:p w:rsidR="00CF66EA" w:rsidRPr="00D54A9A" w:rsidRDefault="00CF66EA" w:rsidP="00CF66EA">
            <w:pPr>
              <w:pStyle w:val="a4"/>
              <w:jc w:val="both"/>
              <w:rPr>
                <w:rFonts w:ascii="Times New Roman" w:hAnsi="Times New Roman" w:cs="Times New Roman"/>
                <w:sz w:val="20"/>
                <w:szCs w:val="24"/>
                <w:lang w:val="es-ES"/>
              </w:rPr>
            </w:pPr>
            <w:r w:rsidRPr="00D54A9A">
              <w:rPr>
                <w:rFonts w:ascii="Times New Roman" w:hAnsi="Times New Roman" w:cs="Times New Roman"/>
                <w:sz w:val="20"/>
                <w:szCs w:val="24"/>
                <w:lang w:val="es-ES"/>
              </w:rPr>
              <w:t>El predominio de la hidroelectricidad en América Latina facilita la inserción de otras fuentes renovables, en virtud a que los embalses de las plantas hidroeléctricas funcionan como “almacenes energéticos”, que pueden absorber las fuctuaciones de la producción de las plantas eólicas, la estacionalidad de la producción de la biomasa y optimizar el uso del gas natural en la generación eléctrica.</w:t>
            </w:r>
          </w:p>
          <w:p w:rsidR="00CF66EA" w:rsidRPr="00D54A9A" w:rsidRDefault="00CF66EA" w:rsidP="00CF66EA">
            <w:pPr>
              <w:pStyle w:val="a4"/>
              <w:jc w:val="both"/>
              <w:rPr>
                <w:rFonts w:ascii="Times New Roman" w:hAnsi="Times New Roman" w:cs="Times New Roman"/>
                <w:sz w:val="20"/>
                <w:szCs w:val="24"/>
                <w:lang w:val="es-ES"/>
              </w:rPr>
            </w:pPr>
            <w:r w:rsidRPr="00D54A9A">
              <w:rPr>
                <w:rFonts w:ascii="Times New Roman" w:hAnsi="Times New Roman" w:cs="Times New Roman"/>
                <w:sz w:val="20"/>
                <w:szCs w:val="24"/>
                <w:lang w:val="es-ES"/>
              </w:rPr>
              <w:t>También hay una complementariedad de las fuentes: algunos países tienen mayores reservas de gas, mientras otros poseen más recursos hidroeléctricos y/o eólicos; por tanto, las posibilidades de interconexión entre naciones tienen una buena perspectiva.</w:t>
            </w:r>
          </w:p>
          <w:p w:rsidR="00CF66EA" w:rsidRPr="00D54A9A" w:rsidRDefault="00CF66EA" w:rsidP="00CF66EA">
            <w:pPr>
              <w:pStyle w:val="a4"/>
              <w:jc w:val="both"/>
              <w:rPr>
                <w:rFonts w:ascii="Times New Roman" w:hAnsi="Times New Roman" w:cs="Times New Roman"/>
                <w:sz w:val="20"/>
                <w:szCs w:val="24"/>
                <w:lang w:val="es-ES"/>
              </w:rPr>
            </w:pPr>
            <w:r w:rsidRPr="00D54A9A">
              <w:rPr>
                <w:rFonts w:ascii="Times New Roman" w:hAnsi="Times New Roman" w:cs="Times New Roman"/>
                <w:sz w:val="20"/>
                <w:szCs w:val="24"/>
                <w:lang w:val="es-ES"/>
              </w:rPr>
              <w:t xml:space="preserve">En el proceso de integración se destaca la construcción de hidroeléctricas binacionales, especialmente en el Cono Sur y en los años 90, la interconexión de los mercados eléctricos en las subregiones del Mercosur y la </w:t>
            </w:r>
            <w:bookmarkStart w:id="0" w:name="_GoBack"/>
            <w:bookmarkEnd w:id="0"/>
            <w:r w:rsidRPr="00D54A9A">
              <w:rPr>
                <w:rFonts w:ascii="Times New Roman" w:hAnsi="Times New Roman" w:cs="Times New Roman"/>
                <w:sz w:val="20"/>
                <w:szCs w:val="24"/>
                <w:lang w:val="es-ES"/>
              </w:rPr>
              <w:t>Comunidad Andina.</w:t>
            </w:r>
          </w:p>
          <w:p w:rsidR="00CF66EA" w:rsidRPr="00CF66EA" w:rsidRDefault="00CF66EA" w:rsidP="00CF66EA">
            <w:pPr>
              <w:pStyle w:val="a4"/>
              <w:jc w:val="both"/>
              <w:rPr>
                <w:rFonts w:ascii="Times New Roman" w:hAnsi="Times New Roman" w:cs="Times New Roman"/>
                <w:sz w:val="24"/>
                <w:szCs w:val="24"/>
                <w:lang w:val="es-ES"/>
              </w:rPr>
            </w:pPr>
            <w:r w:rsidRPr="00D54A9A">
              <w:rPr>
                <w:rFonts w:ascii="Times New Roman" w:hAnsi="Times New Roman" w:cs="Times New Roman"/>
                <w:sz w:val="20"/>
                <w:szCs w:val="24"/>
                <w:lang w:val="es-ES"/>
              </w:rPr>
              <w:t>América Latina ya posee un fuerte grado de integración eléctrica, desde el año 1995 hasta hoy, las interconexiones han aumentado aproximadamente diez veces, pasando de 500 MW a 5.000MW de capacidad instalada.</w:t>
            </w:r>
          </w:p>
        </w:tc>
        <w:tc>
          <w:tcPr>
            <w:tcW w:w="4786" w:type="dxa"/>
          </w:tcPr>
          <w:p w:rsidR="00742245" w:rsidRPr="00CF66EA" w:rsidRDefault="00742245" w:rsidP="00742245">
            <w:pPr>
              <w:pStyle w:val="Default"/>
              <w:jc w:val="both"/>
              <w:rPr>
                <w:rFonts w:ascii="Times New Roman" w:hAnsi="Times New Roman" w:cs="Times New Roman"/>
                <w:lang w:val="es-ES"/>
              </w:rPr>
            </w:pPr>
          </w:p>
        </w:tc>
      </w:tr>
    </w:tbl>
    <w:p w:rsidR="005425D3" w:rsidRPr="00CF66EA" w:rsidRDefault="005425D3" w:rsidP="00F5190F">
      <w:pPr>
        <w:pStyle w:val="a4"/>
        <w:jc w:val="both"/>
        <w:rPr>
          <w:rFonts w:ascii="Times New Roman" w:hAnsi="Times New Roman" w:cs="Times New Roman"/>
          <w:sz w:val="24"/>
          <w:szCs w:val="24"/>
          <w:lang w:val="es-ES"/>
        </w:rPr>
      </w:pPr>
    </w:p>
    <w:sectPr w:rsidR="005425D3" w:rsidRPr="00CF66EA" w:rsidSect="00CB00CC">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savePreviewPicture/>
  <w:compat>
    <w:compatSetting w:name="compatibilityMode" w:uri="http://schemas.microsoft.com/office/word" w:val="12"/>
  </w:compat>
  <w:rsids>
    <w:rsidRoot w:val="007B79FE"/>
    <w:rsid w:val="00072835"/>
    <w:rsid w:val="000C7C6C"/>
    <w:rsid w:val="005425D3"/>
    <w:rsid w:val="00742245"/>
    <w:rsid w:val="00766E11"/>
    <w:rsid w:val="007B79FE"/>
    <w:rsid w:val="008A39E1"/>
    <w:rsid w:val="00B62CBC"/>
    <w:rsid w:val="00BC539D"/>
    <w:rsid w:val="00C5711C"/>
    <w:rsid w:val="00CB00CC"/>
    <w:rsid w:val="00CF66EA"/>
    <w:rsid w:val="00D54A9A"/>
    <w:rsid w:val="00DE5FC3"/>
    <w:rsid w:val="00F51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5190F"/>
    <w:pPr>
      <w:spacing w:after="0" w:line="240" w:lineRule="auto"/>
    </w:pPr>
  </w:style>
  <w:style w:type="paragraph" w:customStyle="1" w:styleId="Default">
    <w:name w:val="Default"/>
    <w:rsid w:val="0074224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B55CB-8F6C-4CF7-ABBA-C29DD420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685</Words>
  <Characters>3906</Characters>
  <Application>Microsoft Office Word</Application>
  <DocSecurity>0</DocSecurity>
  <Lines>32</Lines>
  <Paragraphs>9</Paragraphs>
  <ScaleCrop>false</ScaleCrop>
  <Company>Транслинк</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popovsa</dc:creator>
  <cp:keywords/>
  <dc:description/>
  <cp:lastModifiedBy>Завражнова Анна Владимировна</cp:lastModifiedBy>
  <cp:revision>14</cp:revision>
  <dcterms:created xsi:type="dcterms:W3CDTF">2011-07-06T09:59:00Z</dcterms:created>
  <dcterms:modified xsi:type="dcterms:W3CDTF">2016-11-24T16:18:00Z</dcterms:modified>
</cp:coreProperties>
</file>